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897" w:type="pc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3191"/>
        <w:gridCol w:w="2935"/>
        <w:gridCol w:w="2337"/>
      </w:tblGrid>
      <w:tr w:rsidR="00173D17" w14:paraId="2F029939" w14:textId="77777777" w:rsidTr="00BB32C7">
        <w:tc>
          <w:tcPr>
            <w:tcW w:w="2113" w:type="dxa"/>
          </w:tcPr>
          <w:p w14:paraId="41F6002F" w14:textId="77777777" w:rsidR="00173D17" w:rsidRDefault="00173D17" w:rsidP="00BB32C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</w:tcPr>
          <w:p w14:paraId="3301B4CA" w14:textId="5E605865" w:rsidR="00173D17" w:rsidRDefault="00173D17" w:rsidP="00BB32C7">
            <w:pPr>
              <w:spacing w:after="0"/>
              <w:jc w:val="center"/>
              <w:rPr>
                <w:sz w:val="24"/>
                <w:szCs w:val="24"/>
              </w:rPr>
            </w:pPr>
            <w:r w:rsidRPr="0017453C">
              <w:rPr>
                <w:rFonts w:ascii="Verdana" w:eastAsia="MS PGothic" w:hAnsi="Verdana"/>
                <w:noProof/>
                <w:color w:val="1F497D" w:themeColor="text2"/>
                <w:sz w:val="26"/>
                <w:szCs w:val="26"/>
              </w:rPr>
              <w:drawing>
                <wp:anchor distT="0" distB="0" distL="114300" distR="114300" simplePos="0" relativeHeight="251701760" behindDoc="0" locked="0" layoutInCell="1" allowOverlap="1" wp14:anchorId="30BF867C" wp14:editId="37DFEF1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156210</wp:posOffset>
                  </wp:positionV>
                  <wp:extent cx="511628" cy="696486"/>
                  <wp:effectExtent l="0" t="0" r="317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28" cy="69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453C">
              <w:rPr>
                <w:rFonts w:ascii="Verdana" w:eastAsia="MS PGothic" w:hAnsi="Verdana"/>
                <w:noProof/>
                <w:color w:val="1F497D" w:themeColor="text2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03808" behindDoc="0" locked="0" layoutInCell="1" allowOverlap="1" wp14:anchorId="7E05D5F8" wp14:editId="749ED5C4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116205</wp:posOffset>
                      </wp:positionV>
                      <wp:extent cx="1228725" cy="7620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72B6F" w14:textId="77777777" w:rsidR="007135D6" w:rsidRDefault="007135D6" w:rsidP="00173D17">
                                  <w:pPr>
                                    <w:spacing w:before="20" w:after="0" w:line="264" w:lineRule="auto"/>
                                    <w:rPr>
                                      <w:rFonts w:cstheme="minorHAnsi"/>
                                      <w:b/>
                                      <w:i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</w:pPr>
                                  <w:r w:rsidRPr="0014274C">
                                    <w:rPr>
                                      <w:rFonts w:cstheme="minorHAnsi"/>
                                      <w:b/>
                                      <w:color w:val="365F91" w:themeColor="accent1" w:themeShade="BF"/>
                                      <w:sz w:val="18"/>
                                      <w:szCs w:val="18"/>
                                    </w:rPr>
                                    <w:t>League of Women Voters of LaPorte County</w:t>
                                  </w:r>
                                  <w:r w:rsidRPr="0098331D">
                                    <w:rPr>
                                      <w:rFonts w:cstheme="minorHAnsi"/>
                                      <w:b/>
                                      <w:color w:val="365F91" w:themeColor="accent1" w:themeShade="BF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14274C">
                                    <w:rPr>
                                      <w:rFonts w:cstheme="minorHAnsi"/>
                                      <w:b/>
                                      <w:i/>
                                      <w:color w:val="365F91" w:themeColor="accent1" w:themeShade="BF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14274C">
                                    <w:rPr>
                                      <w:rFonts w:cstheme="minorHAnsi"/>
                                      <w:b/>
                                      <w:i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  <w:t xml:space="preserve"> Making Democracy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i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  <w:t>W</w:t>
                                  </w:r>
                                  <w:r w:rsidRPr="0014274C">
                                    <w:rPr>
                                      <w:rFonts w:cstheme="minorHAnsi"/>
                                      <w:b/>
                                      <w:i/>
                                      <w:color w:val="365F91" w:themeColor="accent1" w:themeShade="BF"/>
                                      <w:sz w:val="14"/>
                                      <w:szCs w:val="14"/>
                                    </w:rPr>
                                    <w:t>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5D5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.1pt;margin-top:9.15pt;width:96.75pt;height:60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" stroked="f">
                      <v:textbox>
                        <w:txbxContent>
                          <w:p w14:paraId="56572B6F" w14:textId="77777777" w:rsidR="007135D6" w:rsidRDefault="007135D6" w:rsidP="00173D17">
                            <w:pPr>
                              <w:spacing w:before="20" w:after="0" w:line="264" w:lineRule="auto"/>
                              <w:rPr>
                                <w:rFonts w:cstheme="minorHAnsi"/>
                                <w:b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14274C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League of Women Voters of LaPorte County</w:t>
                            </w:r>
                            <w:r w:rsidRPr="0098331D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br/>
                            </w:r>
                            <w:r w:rsidRPr="0014274C">
                              <w:rPr>
                                <w:rFonts w:cstheme="minorHAnsi"/>
                                <w:b/>
                                <w:i/>
                                <w:color w:val="365F91" w:themeColor="accent1" w:themeShade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4274C">
                              <w:rPr>
                                <w:rFonts w:cstheme="minorHAnsi"/>
                                <w:b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  <w:t xml:space="preserve"> Making Democracy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W</w:t>
                            </w:r>
                            <w:r w:rsidRPr="0014274C">
                              <w:rPr>
                                <w:rFonts w:cstheme="minorHAnsi"/>
                                <w:b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  <w:t>ork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71E0DF" w14:textId="408C3880" w:rsidR="00173D17" w:rsidRDefault="00173D17" w:rsidP="00BB32C7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4CCC7DAA" w14:textId="012630AA" w:rsidR="00173D17" w:rsidRDefault="00173D17" w:rsidP="00BB3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4F81BD" w:themeColor="accent1"/>
                <w:sz w:val="22"/>
                <w:szCs w:val="22"/>
              </w:rPr>
              <w:drawing>
                <wp:inline distT="0" distB="0" distL="0" distR="0" wp14:anchorId="3125A481" wp14:editId="1FF7A00C">
                  <wp:extent cx="1571625" cy="890921"/>
                  <wp:effectExtent l="0" t="0" r="0" b="4445"/>
                  <wp:docPr id="4" name="Picture 4" descr="A screenshot of a cell phon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ttergovernmentstudygrp0125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265" cy="91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5" w:type="dxa"/>
          </w:tcPr>
          <w:p w14:paraId="5BFDB481" w14:textId="77777777" w:rsidR="00173D17" w:rsidRDefault="00173D17" w:rsidP="00BB32C7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660C50C5" w14:textId="1352B5B9" w:rsidR="002F1BDB" w:rsidRDefault="00431713" w:rsidP="00250E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870154">
        <w:rPr>
          <w:sz w:val="24"/>
          <w:szCs w:val="24"/>
        </w:rPr>
        <w:t xml:space="preserve">22, </w:t>
      </w:r>
      <w:r w:rsidR="00496833">
        <w:rPr>
          <w:sz w:val="24"/>
          <w:szCs w:val="24"/>
        </w:rPr>
        <w:t>2018</w:t>
      </w:r>
    </w:p>
    <w:p w14:paraId="01838E6E" w14:textId="77777777" w:rsidR="002F1BDB" w:rsidRPr="00A3637A" w:rsidRDefault="002F1BDB" w:rsidP="002F1BDB">
      <w:pPr>
        <w:spacing w:after="0" w:line="240" w:lineRule="auto"/>
        <w:rPr>
          <w:sz w:val="16"/>
          <w:szCs w:val="16"/>
        </w:rPr>
      </w:pPr>
    </w:p>
    <w:p w14:paraId="0BBE0C45" w14:textId="5C89D7AB" w:rsidR="002F1BDB" w:rsidRPr="00855745" w:rsidRDefault="002F1BDB" w:rsidP="002F1BDB">
      <w:pPr>
        <w:spacing w:after="0" w:line="240" w:lineRule="auto"/>
        <w:rPr>
          <w:b/>
          <w:i/>
          <w:sz w:val="28"/>
          <w:szCs w:val="28"/>
        </w:rPr>
      </w:pPr>
      <w:r w:rsidRPr="00BB32C7">
        <w:rPr>
          <w:b/>
          <w:sz w:val="28"/>
          <w:szCs w:val="28"/>
        </w:rPr>
        <w:t>SUBJECT:</w:t>
      </w:r>
      <w:r w:rsidR="00855745" w:rsidRPr="00BB32C7">
        <w:rPr>
          <w:b/>
          <w:sz w:val="28"/>
          <w:szCs w:val="28"/>
        </w:rPr>
        <w:tab/>
      </w:r>
      <w:r w:rsidR="00855745" w:rsidRPr="00855745">
        <w:rPr>
          <w:b/>
          <w:sz w:val="28"/>
          <w:szCs w:val="28"/>
        </w:rPr>
        <w:t>Staying Legal:  Navigating Indiana’s Open Door and Freedom of Access Laws</w:t>
      </w:r>
    </w:p>
    <w:p w14:paraId="3F4F7051" w14:textId="77777777" w:rsidR="00BD346A" w:rsidRPr="00A3637A" w:rsidRDefault="00BD346A" w:rsidP="002F1BDB">
      <w:pPr>
        <w:spacing w:after="0" w:line="240" w:lineRule="auto"/>
        <w:rPr>
          <w:sz w:val="16"/>
          <w:szCs w:val="16"/>
        </w:rPr>
      </w:pPr>
    </w:p>
    <w:p w14:paraId="1F2329C5" w14:textId="357CA5D0" w:rsidR="00250E85" w:rsidRDefault="002F1BDB" w:rsidP="002F1BDB">
      <w:pPr>
        <w:spacing w:after="0" w:line="240" w:lineRule="auto"/>
        <w:rPr>
          <w:sz w:val="24"/>
          <w:szCs w:val="24"/>
        </w:rPr>
      </w:pPr>
      <w:r w:rsidRPr="004C73FF">
        <w:rPr>
          <w:color w:val="auto"/>
          <w:sz w:val="24"/>
          <w:szCs w:val="24"/>
        </w:rPr>
        <w:t xml:space="preserve">You’re invited to attend </w:t>
      </w:r>
      <w:r w:rsidR="00496833" w:rsidRPr="004C73FF">
        <w:rPr>
          <w:color w:val="auto"/>
          <w:sz w:val="24"/>
          <w:szCs w:val="24"/>
        </w:rPr>
        <w:t xml:space="preserve">a </w:t>
      </w:r>
      <w:r w:rsidRPr="004C73FF">
        <w:rPr>
          <w:color w:val="auto"/>
          <w:sz w:val="24"/>
          <w:szCs w:val="24"/>
        </w:rPr>
        <w:t xml:space="preserve">half-day conference </w:t>
      </w:r>
      <w:r w:rsidR="003E3FDB" w:rsidRPr="004C73FF">
        <w:rPr>
          <w:color w:val="auto"/>
          <w:sz w:val="24"/>
          <w:szCs w:val="24"/>
        </w:rPr>
        <w:t xml:space="preserve">to </w:t>
      </w:r>
      <w:r w:rsidR="00464534">
        <w:rPr>
          <w:color w:val="auto"/>
          <w:sz w:val="24"/>
          <w:szCs w:val="24"/>
        </w:rPr>
        <w:t xml:space="preserve">learn about Indiana’s laws regarding open meetings and public access.  </w:t>
      </w:r>
      <w:r w:rsidR="00BD346A">
        <w:rPr>
          <w:color w:val="auto"/>
          <w:sz w:val="24"/>
          <w:szCs w:val="24"/>
        </w:rPr>
        <w:t xml:space="preserve"> It will be held</w:t>
      </w:r>
      <w:r w:rsidR="00C66008" w:rsidRPr="004C73FF">
        <w:rPr>
          <w:color w:val="auto"/>
          <w:sz w:val="24"/>
          <w:szCs w:val="24"/>
        </w:rPr>
        <w:t xml:space="preserve"> on Saturday, </w:t>
      </w:r>
      <w:r w:rsidR="00BD346A">
        <w:rPr>
          <w:color w:val="auto"/>
          <w:sz w:val="24"/>
          <w:szCs w:val="24"/>
        </w:rPr>
        <w:t>Ma</w:t>
      </w:r>
      <w:r w:rsidR="00855745">
        <w:rPr>
          <w:color w:val="auto"/>
          <w:sz w:val="24"/>
          <w:szCs w:val="24"/>
        </w:rPr>
        <w:t>y</w:t>
      </w:r>
      <w:r w:rsidR="00BD346A">
        <w:rPr>
          <w:color w:val="auto"/>
          <w:sz w:val="24"/>
          <w:szCs w:val="24"/>
        </w:rPr>
        <w:t xml:space="preserve"> </w:t>
      </w:r>
      <w:r w:rsidR="00464534">
        <w:rPr>
          <w:color w:val="auto"/>
          <w:sz w:val="24"/>
          <w:szCs w:val="24"/>
        </w:rPr>
        <w:t>11</w:t>
      </w:r>
      <w:r w:rsidR="00C66008" w:rsidRPr="004C73FF">
        <w:rPr>
          <w:color w:val="auto"/>
          <w:sz w:val="24"/>
          <w:szCs w:val="24"/>
        </w:rPr>
        <w:t>, in the Great Hall of the James Dworkin Student Services and Activities Complex at Purdue University Northwest, 1401 U. S. Highway 421 in Westville.  The session is c</w:t>
      </w:r>
      <w:r w:rsidR="00250E85" w:rsidRPr="004C73FF">
        <w:rPr>
          <w:color w:val="auto"/>
          <w:sz w:val="24"/>
          <w:szCs w:val="24"/>
        </w:rPr>
        <w:t>o-sponsored by the</w:t>
      </w:r>
      <w:r w:rsidRPr="004C73FF">
        <w:rPr>
          <w:color w:val="auto"/>
          <w:sz w:val="24"/>
          <w:szCs w:val="24"/>
        </w:rPr>
        <w:t xml:space="preserve"> League of Women Voters </w:t>
      </w:r>
      <w:r w:rsidR="00AC571C" w:rsidRPr="004C73FF">
        <w:rPr>
          <w:color w:val="auto"/>
          <w:sz w:val="24"/>
          <w:szCs w:val="24"/>
        </w:rPr>
        <w:t>of La Porte Count</w:t>
      </w:r>
      <w:r w:rsidR="00C364A0" w:rsidRPr="004C73FF">
        <w:rPr>
          <w:color w:val="auto"/>
          <w:sz w:val="24"/>
          <w:szCs w:val="24"/>
        </w:rPr>
        <w:t>y</w:t>
      </w:r>
      <w:r w:rsidR="00BD346A">
        <w:rPr>
          <w:color w:val="auto"/>
          <w:sz w:val="24"/>
          <w:szCs w:val="24"/>
        </w:rPr>
        <w:t xml:space="preserve"> and </w:t>
      </w:r>
      <w:r w:rsidR="00CB2104" w:rsidRPr="004C73FF">
        <w:rPr>
          <w:color w:val="auto"/>
          <w:sz w:val="24"/>
          <w:szCs w:val="24"/>
        </w:rPr>
        <w:t>the</w:t>
      </w:r>
      <w:r w:rsidRPr="004C73FF">
        <w:rPr>
          <w:color w:val="auto"/>
          <w:sz w:val="24"/>
          <w:szCs w:val="24"/>
        </w:rPr>
        <w:t xml:space="preserve"> La Porte County Better Government Study Group</w:t>
      </w:r>
      <w:r w:rsidR="00855745">
        <w:rPr>
          <w:color w:val="auto"/>
          <w:sz w:val="24"/>
          <w:szCs w:val="24"/>
        </w:rPr>
        <w:t>.  It will</w:t>
      </w:r>
      <w:r w:rsidR="00496833" w:rsidRPr="004C73FF">
        <w:rPr>
          <w:color w:val="auto"/>
          <w:sz w:val="24"/>
          <w:szCs w:val="24"/>
        </w:rPr>
        <w:t xml:space="preserve"> </w:t>
      </w:r>
      <w:r w:rsidR="003E3FDB" w:rsidRPr="004C73FF">
        <w:rPr>
          <w:color w:val="auto"/>
          <w:sz w:val="24"/>
          <w:szCs w:val="24"/>
        </w:rPr>
        <w:t>provide a non-partisan</w:t>
      </w:r>
      <w:r w:rsidR="00BD346A">
        <w:rPr>
          <w:color w:val="auto"/>
          <w:sz w:val="24"/>
          <w:szCs w:val="24"/>
        </w:rPr>
        <w:t xml:space="preserve"> f</w:t>
      </w:r>
      <w:r w:rsidR="003E3FDB" w:rsidRPr="004C73FF">
        <w:rPr>
          <w:color w:val="auto"/>
          <w:sz w:val="24"/>
          <w:szCs w:val="24"/>
        </w:rPr>
        <w:t>orum for dialogue and discussion</w:t>
      </w:r>
      <w:r w:rsidR="00BD346A">
        <w:rPr>
          <w:color w:val="auto"/>
          <w:sz w:val="24"/>
          <w:szCs w:val="24"/>
        </w:rPr>
        <w:t>.</w:t>
      </w:r>
      <w:r w:rsidR="0099146D">
        <w:rPr>
          <w:color w:val="auto"/>
          <w:sz w:val="24"/>
          <w:szCs w:val="24"/>
        </w:rPr>
        <w:t xml:space="preserve">  An outstanding faculty has been selected, and there should be significant insights for all who attend.  </w:t>
      </w:r>
      <w:r w:rsidR="003E3FDB" w:rsidRPr="004C73FF">
        <w:rPr>
          <w:color w:val="auto"/>
          <w:sz w:val="24"/>
          <w:szCs w:val="24"/>
        </w:rPr>
        <w:t xml:space="preserve"> </w:t>
      </w:r>
      <w:r w:rsidR="00A73473" w:rsidRPr="004C73FF">
        <w:rPr>
          <w:color w:val="auto"/>
          <w:sz w:val="24"/>
          <w:szCs w:val="24"/>
        </w:rPr>
        <w:t xml:space="preserve">We’ll start with </w:t>
      </w:r>
      <w:r w:rsidR="00496833" w:rsidRPr="004C73FF">
        <w:rPr>
          <w:color w:val="auto"/>
          <w:sz w:val="24"/>
          <w:szCs w:val="24"/>
        </w:rPr>
        <w:t xml:space="preserve">coffee </w:t>
      </w:r>
      <w:r w:rsidR="00C66008" w:rsidRPr="004C73FF">
        <w:rPr>
          <w:color w:val="auto"/>
          <w:sz w:val="24"/>
          <w:szCs w:val="24"/>
        </w:rPr>
        <w:t>and soft drinks</w:t>
      </w:r>
      <w:r w:rsidR="00496833" w:rsidRPr="004C73FF">
        <w:rPr>
          <w:color w:val="auto"/>
          <w:sz w:val="24"/>
          <w:szCs w:val="24"/>
        </w:rPr>
        <w:t xml:space="preserve"> at 8:</w:t>
      </w:r>
      <w:r w:rsidR="00855745">
        <w:rPr>
          <w:color w:val="auto"/>
          <w:sz w:val="24"/>
          <w:szCs w:val="24"/>
        </w:rPr>
        <w:t>3</w:t>
      </w:r>
      <w:r w:rsidR="00496833" w:rsidRPr="004C73FF">
        <w:rPr>
          <w:color w:val="auto"/>
          <w:sz w:val="24"/>
          <w:szCs w:val="24"/>
        </w:rPr>
        <w:t xml:space="preserve">0am, </w:t>
      </w:r>
      <w:r w:rsidR="00A73473" w:rsidRPr="004C73FF">
        <w:rPr>
          <w:color w:val="auto"/>
          <w:sz w:val="24"/>
          <w:szCs w:val="24"/>
        </w:rPr>
        <w:t xml:space="preserve">and the opening session will </w:t>
      </w:r>
      <w:r w:rsidR="007421F0" w:rsidRPr="004C73FF">
        <w:rPr>
          <w:color w:val="auto"/>
          <w:sz w:val="24"/>
          <w:szCs w:val="24"/>
        </w:rPr>
        <w:t>convene</w:t>
      </w:r>
      <w:r w:rsidR="00496833" w:rsidRPr="004C73FF">
        <w:rPr>
          <w:color w:val="auto"/>
          <w:sz w:val="24"/>
          <w:szCs w:val="24"/>
        </w:rPr>
        <w:t xml:space="preserve"> </w:t>
      </w:r>
      <w:r w:rsidR="00250E85" w:rsidRPr="004C73FF">
        <w:rPr>
          <w:color w:val="auto"/>
          <w:sz w:val="24"/>
          <w:szCs w:val="24"/>
        </w:rPr>
        <w:t xml:space="preserve">at </w:t>
      </w:r>
      <w:r w:rsidR="00855745">
        <w:rPr>
          <w:color w:val="auto"/>
          <w:sz w:val="24"/>
          <w:szCs w:val="24"/>
        </w:rPr>
        <w:t>9</w:t>
      </w:r>
      <w:r w:rsidR="00250E85" w:rsidRPr="004C73FF">
        <w:rPr>
          <w:color w:val="auto"/>
          <w:sz w:val="24"/>
          <w:szCs w:val="24"/>
        </w:rPr>
        <w:t>:</w:t>
      </w:r>
      <w:r w:rsidR="00855745">
        <w:rPr>
          <w:color w:val="auto"/>
          <w:sz w:val="24"/>
          <w:szCs w:val="24"/>
        </w:rPr>
        <w:t>0</w:t>
      </w:r>
      <w:r w:rsidR="00250E85" w:rsidRPr="004C73FF">
        <w:rPr>
          <w:color w:val="auto"/>
          <w:sz w:val="24"/>
          <w:szCs w:val="24"/>
        </w:rPr>
        <w:t>0am</w:t>
      </w:r>
      <w:r w:rsidR="00496833" w:rsidRPr="004C73FF">
        <w:rPr>
          <w:color w:val="auto"/>
          <w:sz w:val="24"/>
          <w:szCs w:val="24"/>
        </w:rPr>
        <w:t xml:space="preserve">. </w:t>
      </w:r>
      <w:r w:rsidR="00A73473" w:rsidRPr="004C73FF">
        <w:rPr>
          <w:color w:val="auto"/>
          <w:sz w:val="24"/>
          <w:szCs w:val="24"/>
        </w:rPr>
        <w:t xml:space="preserve"> The conference will </w:t>
      </w:r>
      <w:r w:rsidR="007421F0" w:rsidRPr="004C73FF">
        <w:rPr>
          <w:color w:val="auto"/>
          <w:sz w:val="24"/>
          <w:szCs w:val="24"/>
        </w:rPr>
        <w:t xml:space="preserve">end </w:t>
      </w:r>
      <w:r w:rsidR="00855745">
        <w:rPr>
          <w:color w:val="auto"/>
          <w:sz w:val="24"/>
          <w:szCs w:val="24"/>
        </w:rPr>
        <w:t>by Noon,</w:t>
      </w:r>
      <w:r w:rsidR="00496833" w:rsidRPr="004C73FF">
        <w:rPr>
          <w:color w:val="auto"/>
          <w:sz w:val="24"/>
          <w:szCs w:val="24"/>
        </w:rPr>
        <w:t xml:space="preserve"> but </w:t>
      </w:r>
      <w:r w:rsidR="00F7381A">
        <w:rPr>
          <w:color w:val="auto"/>
          <w:sz w:val="24"/>
          <w:szCs w:val="24"/>
        </w:rPr>
        <w:t>speakers</w:t>
      </w:r>
      <w:r w:rsidR="00496833" w:rsidRPr="004C73FF">
        <w:rPr>
          <w:color w:val="auto"/>
          <w:sz w:val="24"/>
          <w:szCs w:val="24"/>
        </w:rPr>
        <w:t xml:space="preserve"> will remain afterward to respond to questions</w:t>
      </w:r>
      <w:r w:rsidR="00250E85" w:rsidRPr="004C73FF">
        <w:rPr>
          <w:color w:val="auto"/>
          <w:sz w:val="24"/>
          <w:szCs w:val="24"/>
        </w:rPr>
        <w:t>.</w:t>
      </w:r>
      <w:r w:rsidR="00984FBB" w:rsidRPr="004C73FF">
        <w:rPr>
          <w:color w:val="auto"/>
          <w:sz w:val="24"/>
          <w:szCs w:val="24"/>
        </w:rPr>
        <w:t xml:space="preserve">   </w:t>
      </w:r>
      <w:r w:rsidR="00A73473" w:rsidRPr="004C73FF">
        <w:rPr>
          <w:color w:val="auto"/>
          <w:sz w:val="24"/>
          <w:szCs w:val="24"/>
          <w:u w:val="single"/>
        </w:rPr>
        <w:t>There is no charge</w:t>
      </w:r>
      <w:r w:rsidR="00BB32C7">
        <w:rPr>
          <w:color w:val="auto"/>
          <w:sz w:val="24"/>
          <w:szCs w:val="24"/>
          <w:u w:val="single"/>
        </w:rPr>
        <w:t>, and advance registration is not required.</w:t>
      </w:r>
      <w:r w:rsidR="00EA095C">
        <w:rPr>
          <w:color w:val="auto"/>
          <w:sz w:val="24"/>
          <w:szCs w:val="24"/>
          <w:u w:val="single"/>
        </w:rPr>
        <w:t xml:space="preserve"> </w:t>
      </w:r>
      <w:r w:rsidR="00250E85">
        <w:rPr>
          <w:sz w:val="24"/>
          <w:szCs w:val="24"/>
        </w:rPr>
        <w:t>The agenda is as follows:</w:t>
      </w:r>
    </w:p>
    <w:p w14:paraId="09F1F1C2" w14:textId="77777777" w:rsidR="00BB32C7" w:rsidRDefault="00BB32C7" w:rsidP="002F1BD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8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BB32C7" w14:paraId="0C3990DD" w14:textId="77777777" w:rsidTr="00BB32C7">
        <w:tc>
          <w:tcPr>
            <w:tcW w:w="10705" w:type="dxa"/>
          </w:tcPr>
          <w:p w14:paraId="40A81BA6" w14:textId="6AF7149C" w:rsidR="00BB32C7" w:rsidRPr="00BB32C7" w:rsidRDefault="00BB32C7" w:rsidP="00BB32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</w:t>
            </w:r>
          </w:p>
        </w:tc>
      </w:tr>
    </w:tbl>
    <w:tbl>
      <w:tblPr>
        <w:tblW w:w="1071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6390"/>
        <w:gridCol w:w="3150"/>
      </w:tblGrid>
      <w:tr w:rsidR="00BB32C7" w:rsidRPr="00984FBB" w14:paraId="5FAB690C" w14:textId="77777777" w:rsidTr="009E31BC"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C24F" w14:textId="3A6BAA03" w:rsidR="00984FBB" w:rsidRPr="00984FBB" w:rsidRDefault="00984FBB" w:rsidP="00A3637A">
            <w:pPr>
              <w:spacing w:after="0" w:line="240" w:lineRule="auto"/>
              <w:rPr>
                <w:rFonts w:cstheme="minorHAnsi"/>
                <w:bCs/>
                <w:color w:val="auto"/>
                <w:sz w:val="22"/>
                <w:szCs w:val="22"/>
              </w:rPr>
            </w:pPr>
            <w:r w:rsidRPr="00984FBB">
              <w:rPr>
                <w:rFonts w:cstheme="minorHAnsi"/>
                <w:bCs/>
                <w:color w:val="auto"/>
                <w:sz w:val="22"/>
                <w:szCs w:val="22"/>
              </w:rPr>
              <w:t>8:</w:t>
            </w:r>
            <w:r w:rsidR="00855745">
              <w:rPr>
                <w:rFonts w:cstheme="minorHAnsi"/>
                <w:bCs/>
                <w:color w:val="auto"/>
                <w:sz w:val="22"/>
                <w:szCs w:val="22"/>
              </w:rPr>
              <w:t>3</w:t>
            </w:r>
            <w:r w:rsidRPr="00984FBB">
              <w:rPr>
                <w:rFonts w:cstheme="minorHAnsi"/>
                <w:bCs/>
                <w:color w:val="auto"/>
                <w:sz w:val="22"/>
                <w:szCs w:val="22"/>
              </w:rPr>
              <w:t>0am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1E53" w14:textId="77777777" w:rsidR="00984FBB" w:rsidRPr="00870154" w:rsidRDefault="00984FBB" w:rsidP="00A3637A">
            <w:pPr>
              <w:spacing w:after="0" w:line="240" w:lineRule="auto"/>
              <w:rPr>
                <w:rFonts w:cstheme="minorHAnsi"/>
                <w:b/>
                <w:bCs/>
                <w:color w:val="auto"/>
                <w:sz w:val="22"/>
                <w:szCs w:val="22"/>
              </w:rPr>
            </w:pPr>
            <w:r w:rsidRPr="00870154">
              <w:rPr>
                <w:rFonts w:cstheme="minorHAnsi"/>
                <w:b/>
                <w:bCs/>
                <w:color w:val="auto"/>
                <w:sz w:val="22"/>
                <w:szCs w:val="22"/>
              </w:rPr>
              <w:t>Coffee and Conversation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36E2" w14:textId="77777777" w:rsidR="00984FBB" w:rsidRPr="00984FBB" w:rsidRDefault="00984FBB" w:rsidP="00A3637A">
            <w:pPr>
              <w:spacing w:after="0" w:line="240" w:lineRule="auto"/>
              <w:rPr>
                <w:rFonts w:cstheme="minorHAnsi"/>
                <w:bCs/>
                <w:color w:val="auto"/>
                <w:sz w:val="22"/>
                <w:szCs w:val="22"/>
              </w:rPr>
            </w:pPr>
            <w:r w:rsidRPr="00984FBB">
              <w:rPr>
                <w:rFonts w:cstheme="minorHAnsi"/>
                <w:bCs/>
                <w:color w:val="auto"/>
                <w:sz w:val="22"/>
                <w:szCs w:val="22"/>
              </w:rPr>
              <w:t>Everyone</w:t>
            </w:r>
          </w:p>
        </w:tc>
      </w:tr>
      <w:tr w:rsidR="00BB32C7" w:rsidRPr="00984FBB" w14:paraId="1A3896F4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CF65" w14:textId="77FA11BC" w:rsidR="00984FBB" w:rsidRPr="009E31BC" w:rsidRDefault="00855745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9</w:t>
            </w:r>
            <w:r w:rsidR="00984FBB" w:rsidRPr="009E31BC">
              <w:rPr>
                <w:rFonts w:cstheme="minorHAnsi"/>
                <w:bCs/>
                <w:color w:val="auto"/>
                <w:sz w:val="20"/>
                <w:szCs w:val="20"/>
              </w:rPr>
              <w:t>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="00984FBB"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="003E3FDB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to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9:1</w:t>
            </w:r>
            <w:r w:rsidR="003E3FDB" w:rsidRPr="009E31BC">
              <w:rPr>
                <w:rFonts w:cstheme="minorHAnsi"/>
                <w:bCs/>
                <w:color w:val="auto"/>
                <w:sz w:val="20"/>
                <w:szCs w:val="20"/>
              </w:rPr>
              <w:t>0am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62DF6" w14:textId="77777777" w:rsidR="00984FBB" w:rsidRPr="009E31BC" w:rsidRDefault="003E3FDB" w:rsidP="00984FBB">
            <w:pPr>
              <w:spacing w:after="120" w:line="240" w:lineRule="auto"/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Welcome, Introductions and Overview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A83C" w14:textId="377016EB" w:rsidR="0099146D" w:rsidRPr="009E31BC" w:rsidRDefault="0014274C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Jo Ann En</w:t>
            </w:r>
            <w:r w:rsidR="00EA095C" w:rsidRPr="009E31BC">
              <w:rPr>
                <w:rFonts w:cstheme="minorHAnsi"/>
                <w:bCs/>
                <w:color w:val="auto"/>
                <w:sz w:val="20"/>
                <w:szCs w:val="20"/>
              </w:rPr>
              <w:t>g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quist</w:t>
            </w:r>
            <w:r w:rsidR="00431713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,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President,</w:t>
            </w:r>
          </w:p>
          <w:p w14:paraId="56DDE8CB" w14:textId="7EB709E2" w:rsidR="0014274C" w:rsidRPr="009E31BC" w:rsidRDefault="0014274C" w:rsidP="00870154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League of Women Voters </w:t>
            </w:r>
            <w:r w:rsidR="00870154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of LP </w:t>
            </w:r>
            <w:r w:rsidR="009E31BC">
              <w:rPr>
                <w:rFonts w:cstheme="minorHAnsi"/>
                <w:bCs/>
                <w:color w:val="auto"/>
                <w:sz w:val="20"/>
                <w:szCs w:val="20"/>
              </w:rPr>
              <w:t>Co.</w:t>
            </w:r>
          </w:p>
        </w:tc>
      </w:tr>
      <w:tr w:rsidR="00BB32C7" w:rsidRPr="00984FBB" w14:paraId="13C06949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D501" w14:textId="3B8EC77F" w:rsidR="00984FBB" w:rsidRPr="009E31BC" w:rsidRDefault="00855745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9</w:t>
            </w:r>
            <w:r w:rsidR="00984FBB" w:rsidRPr="009E31BC">
              <w:rPr>
                <w:rFonts w:cstheme="minorHAnsi"/>
                <w:bCs/>
                <w:color w:val="auto"/>
                <w:sz w:val="20"/>
                <w:szCs w:val="20"/>
              </w:rPr>
              <w:t>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</w:t>
            </w:r>
            <w:r w:rsidR="00496833"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="003E3FDB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to 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10</w:t>
            </w:r>
            <w:r w:rsidR="003E3FDB" w:rsidRPr="009E31BC">
              <w:rPr>
                <w:rFonts w:cstheme="minorHAnsi"/>
                <w:bCs/>
                <w:color w:val="auto"/>
                <w:sz w:val="20"/>
                <w:szCs w:val="20"/>
              </w:rPr>
              <w:t>: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00</w:t>
            </w:r>
            <w:r w:rsidR="003E3FDB" w:rsidRPr="009E31BC">
              <w:rPr>
                <w:rFonts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29FC" w14:textId="130CBD94" w:rsidR="00984FBB" w:rsidRPr="009E31BC" w:rsidRDefault="004D2595" w:rsidP="00984FBB">
            <w:pPr>
              <w:spacing w:after="0" w:line="240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color w:val="auto"/>
                <w:sz w:val="20"/>
                <w:szCs w:val="20"/>
              </w:rPr>
              <w:t>Overview</w:t>
            </w:r>
            <w:r w:rsidR="00BB32C7" w:rsidRPr="009E31BC">
              <w:rPr>
                <w:rFonts w:cstheme="minorHAnsi"/>
                <w:b/>
                <w:color w:val="auto"/>
                <w:sz w:val="20"/>
                <w:szCs w:val="20"/>
              </w:rPr>
              <w:t>:</w:t>
            </w:r>
            <w:r w:rsidR="001F1730" w:rsidRPr="009E31BC">
              <w:rPr>
                <w:rFonts w:cstheme="minorHAnsi"/>
                <w:color w:val="auto"/>
                <w:sz w:val="20"/>
                <w:szCs w:val="20"/>
              </w:rPr>
              <w:t xml:space="preserve">   </w:t>
            </w:r>
            <w:r w:rsidR="00464534" w:rsidRPr="009E31BC">
              <w:rPr>
                <w:rFonts w:cstheme="minorHAnsi"/>
                <w:color w:val="auto"/>
                <w:sz w:val="20"/>
                <w:szCs w:val="20"/>
              </w:rPr>
              <w:t>Indiana’s Public Access and Open Meeting Laws</w:t>
            </w:r>
            <w:r w:rsidR="00657E86" w:rsidRPr="009E31BC">
              <w:rPr>
                <w:rFonts w:cstheme="minorHAnsi"/>
                <w:color w:val="auto"/>
                <w:sz w:val="20"/>
                <w:szCs w:val="20"/>
              </w:rPr>
              <w:t>—</w:t>
            </w:r>
            <w:r w:rsidR="00464534" w:rsidRPr="009E31BC">
              <w:rPr>
                <w:rFonts w:cstheme="minorHAnsi"/>
                <w:color w:val="auto"/>
                <w:sz w:val="20"/>
                <w:szCs w:val="20"/>
              </w:rPr>
              <w:t xml:space="preserve">History and Philosophy, </w:t>
            </w:r>
            <w:r w:rsidR="00431713" w:rsidRPr="009E31BC">
              <w:rPr>
                <w:rFonts w:cstheme="minorHAnsi"/>
                <w:color w:val="auto"/>
                <w:sz w:val="20"/>
                <w:szCs w:val="20"/>
              </w:rPr>
              <w:t>Roles of</w:t>
            </w:r>
            <w:r w:rsidR="00464534" w:rsidRPr="009E31BC">
              <w:rPr>
                <w:rFonts w:cstheme="minorHAnsi"/>
                <w:color w:val="auto"/>
                <w:sz w:val="20"/>
                <w:szCs w:val="20"/>
              </w:rPr>
              <w:t xml:space="preserve"> the Public Access Counselor</w:t>
            </w:r>
            <w:r w:rsidR="0099146D" w:rsidRPr="009E31BC">
              <w:rPr>
                <w:rFonts w:cstheme="minorHAnsi"/>
                <w:color w:val="auto"/>
                <w:sz w:val="20"/>
                <w:szCs w:val="20"/>
              </w:rPr>
              <w:t xml:space="preserve">, </w:t>
            </w:r>
            <w:r w:rsidR="00870154" w:rsidRPr="009E31BC">
              <w:rPr>
                <w:rFonts w:cstheme="minorHAnsi"/>
                <w:color w:val="auto"/>
                <w:sz w:val="20"/>
                <w:szCs w:val="20"/>
              </w:rPr>
              <w:t xml:space="preserve">and </w:t>
            </w:r>
            <w:r w:rsidR="00F740FF" w:rsidRPr="009E31BC">
              <w:rPr>
                <w:rFonts w:cstheme="minorHAnsi"/>
                <w:color w:val="auto"/>
                <w:sz w:val="20"/>
                <w:szCs w:val="20"/>
              </w:rPr>
              <w:t>the Hoosier</w:t>
            </w:r>
            <w:r w:rsidR="0099146D" w:rsidRPr="009E31BC">
              <w:rPr>
                <w:rFonts w:cstheme="minorHAnsi"/>
                <w:color w:val="auto"/>
                <w:sz w:val="20"/>
                <w:szCs w:val="20"/>
              </w:rPr>
              <w:t xml:space="preserve"> State Press Association</w:t>
            </w:r>
            <w:r w:rsidR="00870154" w:rsidRPr="009E31BC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99146D" w:rsidRPr="009E31BC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4D9A" w14:textId="1273B186" w:rsidR="00464534" w:rsidRPr="009E31BC" w:rsidRDefault="00464534" w:rsidP="00984FB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E31BC">
              <w:rPr>
                <w:color w:val="auto"/>
                <w:sz w:val="20"/>
                <w:szCs w:val="20"/>
              </w:rPr>
              <w:t>Lu</w:t>
            </w:r>
            <w:r w:rsidR="009E31BC">
              <w:rPr>
                <w:color w:val="auto"/>
                <w:sz w:val="20"/>
                <w:szCs w:val="20"/>
              </w:rPr>
              <w:t>k</w:t>
            </w:r>
            <w:r w:rsidRPr="009E31BC">
              <w:rPr>
                <w:color w:val="auto"/>
                <w:sz w:val="20"/>
                <w:szCs w:val="20"/>
              </w:rPr>
              <w:t xml:space="preserve">e Britt, </w:t>
            </w:r>
          </w:p>
          <w:p w14:paraId="52B8BA81" w14:textId="2DEF94B6" w:rsidR="00984FBB" w:rsidRPr="009E31BC" w:rsidRDefault="00464534" w:rsidP="00984FB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9E31BC">
              <w:rPr>
                <w:color w:val="auto"/>
                <w:sz w:val="20"/>
                <w:szCs w:val="20"/>
              </w:rPr>
              <w:t>Indiana’s Public Access Counselor</w:t>
            </w:r>
          </w:p>
          <w:p w14:paraId="5ECA58E0" w14:textId="3A173806" w:rsidR="00684AFD" w:rsidRPr="009E31BC" w:rsidRDefault="00684AFD" w:rsidP="00984FBB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BB32C7" w:rsidRPr="00984FBB" w14:paraId="7889B187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5E58" w14:textId="77777777" w:rsidR="00984FBB" w:rsidRPr="009E31BC" w:rsidRDefault="00496833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10:</w:t>
            </w:r>
            <w:r w:rsidR="00A3329A"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="00A3329A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to 10:15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3534" w14:textId="77777777" w:rsidR="00984FBB" w:rsidRPr="009E31BC" w:rsidRDefault="00496833" w:rsidP="00984FBB">
            <w:pPr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Break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E090" w14:textId="32133D81" w:rsidR="00984FBB" w:rsidRPr="009E31BC" w:rsidRDefault="00984FBB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</w:p>
        </w:tc>
      </w:tr>
      <w:tr w:rsidR="00BB32C7" w:rsidRPr="00984FBB" w14:paraId="613701BA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43D0" w14:textId="296AB1F3" w:rsidR="001F1730" w:rsidRPr="009E31BC" w:rsidRDefault="001F173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10:15 </w:t>
            </w:r>
            <w:r w:rsidR="009E31BC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to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</w:t>
            </w:r>
            <w:r w:rsidR="009E31BC" w:rsidRPr="009E31BC">
              <w:rPr>
                <w:rFonts w:cstheme="minorHAnsi"/>
                <w:bCs/>
                <w:color w:val="auto"/>
                <w:sz w:val="20"/>
                <w:szCs w:val="20"/>
              </w:rPr>
              <w:t>0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:</w:t>
            </w:r>
            <w:r w:rsidR="009E31BC" w:rsidRPr="009E31BC">
              <w:rPr>
                <w:rFonts w:cstheme="minorHAnsi"/>
                <w:bCs/>
                <w:color w:val="auto"/>
                <w:sz w:val="20"/>
                <w:szCs w:val="20"/>
              </w:rPr>
              <w:t>45a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B733" w14:textId="66CB510A" w:rsidR="001F1730" w:rsidRPr="009E31BC" w:rsidRDefault="001F173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Insight: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 Indiana’s Transparency Portal:</w:t>
            </w:r>
          </w:p>
          <w:p w14:paraId="30642CF2" w14:textId="2EE200B4" w:rsidR="001F1730" w:rsidRPr="009E31BC" w:rsidRDefault="001F1730" w:rsidP="001F17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Visibility, Openness and Accountability of State Government </w:t>
            </w:r>
          </w:p>
          <w:p w14:paraId="782B7C9E" w14:textId="375F7362" w:rsidR="001F1730" w:rsidRPr="009E31BC" w:rsidRDefault="001F1730" w:rsidP="001F173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Public Access to Financial Information—Agency </w:t>
            </w:r>
            <w:r w:rsidR="00870154" w:rsidRPr="009E31BC">
              <w:rPr>
                <w:rFonts w:cstheme="minorHAnsi"/>
                <w:bCs/>
                <w:color w:val="auto"/>
                <w:sz w:val="20"/>
                <w:szCs w:val="20"/>
              </w:rPr>
              <w:t>Budgets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, State Contracts, Local Government Finances and More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1D2C" w14:textId="109C992C" w:rsidR="001F1730" w:rsidRPr="009E31BC" w:rsidRDefault="001F173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Tera KLu</w:t>
            </w:r>
            <w:r w:rsidR="00BB32C7" w:rsidRPr="009E31BC">
              <w:rPr>
                <w:rFonts w:cstheme="minorHAnsi"/>
                <w:bCs/>
                <w:color w:val="auto"/>
                <w:sz w:val="20"/>
                <w:szCs w:val="20"/>
              </w:rPr>
              <w:t>t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z, CPA</w:t>
            </w:r>
          </w:p>
          <w:p w14:paraId="3758B57B" w14:textId="4CEA4D62" w:rsidR="001F1730" w:rsidRPr="009E31BC" w:rsidRDefault="001F173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Auditor, State of Indiana</w:t>
            </w:r>
          </w:p>
        </w:tc>
      </w:tr>
      <w:tr w:rsidR="009E31BC" w:rsidRPr="00984FBB" w14:paraId="72305717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6E8A" w14:textId="19C4E867" w:rsidR="009E31BC" w:rsidRPr="009E31BC" w:rsidRDefault="009E31BC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10:45 to 11:15am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0839" w14:textId="77777777" w:rsidR="009E31BC" w:rsidRPr="009E31BC" w:rsidRDefault="009E31BC" w:rsidP="009E31BC">
            <w:pPr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Insight: 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Local Government Finance</w:t>
            </w:r>
          </w:p>
          <w:p w14:paraId="0EA51DD0" w14:textId="7323A9EE" w:rsidR="009E31BC" w:rsidRPr="009E31BC" w:rsidRDefault="009E31BC" w:rsidP="009E31B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color w:val="333333"/>
                <w:sz w:val="20"/>
                <w:szCs w:val="20"/>
                <w:shd w:val="clear" w:color="auto" w:fill="FEFEFE"/>
              </w:rPr>
              <w:t xml:space="preserve">Property tax assessment </w:t>
            </w:r>
          </w:p>
          <w:p w14:paraId="31369786" w14:textId="3876CA78" w:rsidR="009E31BC" w:rsidRPr="009E31BC" w:rsidRDefault="009E31BC" w:rsidP="00984FB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color w:val="333333"/>
                <w:sz w:val="20"/>
                <w:szCs w:val="20"/>
                <w:shd w:val="clear" w:color="auto" w:fill="FEFEFE"/>
              </w:rPr>
              <w:t>Local government budgeting for counties, cities, towns, townships, school corporations, libraries, and other entities with tax levy authority.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BF08" w14:textId="3B3C3C0A" w:rsidR="009E31BC" w:rsidRPr="009E31BC" w:rsidRDefault="00D7743F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Fred Van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Dorp</w:t>
            </w:r>
            <w:proofErr w:type="spellEnd"/>
            <w:r w:rsidR="009E31BC" w:rsidRPr="009E31BC">
              <w:rPr>
                <w:rFonts w:cstheme="minorHAnsi"/>
                <w:color w:val="000000"/>
                <w:sz w:val="20"/>
                <w:szCs w:val="20"/>
              </w:rPr>
              <w:t>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Budget Director</w:t>
            </w:r>
            <w:r w:rsidR="009E31BC" w:rsidRPr="009E31BC">
              <w:rPr>
                <w:rFonts w:cstheme="minorHAnsi"/>
                <w:color w:val="000000"/>
                <w:sz w:val="20"/>
                <w:szCs w:val="20"/>
              </w:rPr>
              <w:t xml:space="preserve"> Department of Local Government Finance </w:t>
            </w:r>
          </w:p>
        </w:tc>
      </w:tr>
      <w:tr w:rsidR="00BB32C7" w:rsidRPr="00984FBB" w14:paraId="43DD54E8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713E" w14:textId="26478D59" w:rsidR="00984FBB" w:rsidRPr="009E31BC" w:rsidRDefault="00984FBB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1:</w:t>
            </w:r>
            <w:r w:rsidR="009E31BC">
              <w:rPr>
                <w:rFonts w:cstheme="minorHAnsi"/>
                <w:bCs/>
                <w:color w:val="auto"/>
                <w:sz w:val="20"/>
                <w:szCs w:val="20"/>
              </w:rPr>
              <w:t>15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A3329A" w:rsidRPr="009E31BC">
              <w:rPr>
                <w:rFonts w:cstheme="minorHAnsi"/>
                <w:bCs/>
                <w:color w:val="auto"/>
                <w:sz w:val="20"/>
                <w:szCs w:val="20"/>
              </w:rPr>
              <w:t>to 1</w:t>
            </w:r>
            <w:r w:rsidR="0099146D" w:rsidRPr="009E31BC">
              <w:rPr>
                <w:rFonts w:cstheme="minorHAnsi"/>
                <w:bCs/>
                <w:color w:val="auto"/>
                <w:sz w:val="20"/>
                <w:szCs w:val="20"/>
              </w:rPr>
              <w:t>1: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4</w:t>
            </w:r>
            <w:r w:rsidR="0099146D" w:rsidRPr="009E31BC">
              <w:rPr>
                <w:rFonts w:cstheme="minorHAnsi"/>
                <w:bCs/>
                <w:color w:val="auto"/>
                <w:sz w:val="20"/>
                <w:szCs w:val="20"/>
              </w:rPr>
              <w:t>5</w:t>
            </w:r>
            <w:r w:rsidR="00A3329A" w:rsidRPr="009E31BC">
              <w:rPr>
                <w:rFonts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4F5A" w14:textId="53B1522D" w:rsidR="0033257B" w:rsidRPr="009E31BC" w:rsidRDefault="0033257B" w:rsidP="0033257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Pressure Points: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(Attendees will be asked to Submit Topics)</w:t>
            </w:r>
          </w:p>
          <w:p w14:paraId="3C414957" w14:textId="0CFE6281" w:rsidR="00984FBB" w:rsidRPr="009E31BC" w:rsidRDefault="0033257B" w:rsidP="0033257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(E.g., Public Records:  Reasonableness of requests, timeliness of responses, redacting documents; Open Door:  Appropriate use of Workshops, Caucuses and Executive Sessions, Economic Development Negotiations, Approval of Documents outside of Meetings; Final Action after an Executive Session, Noticing Requirements)</w:t>
            </w:r>
            <w:r w:rsidR="00657E86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6513" w14:textId="2F1E8A88" w:rsidR="00684AFD" w:rsidRPr="009E31BC" w:rsidRDefault="00972268" w:rsidP="00972268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Cs/>
                <w:color w:val="auto"/>
                <w:sz w:val="20"/>
                <w:szCs w:val="20"/>
              </w:rPr>
              <w:t>Panelists</w:t>
            </w:r>
            <w:r w:rsidR="007135D6">
              <w:rPr>
                <w:rFonts w:cstheme="minorHAnsi"/>
                <w:bCs/>
                <w:color w:val="auto"/>
                <w:sz w:val="20"/>
                <w:szCs w:val="20"/>
              </w:rPr>
              <w:t xml:space="preserve">:  </w:t>
            </w:r>
            <w:r w:rsidR="00AE1E2E">
              <w:rPr>
                <w:rFonts w:cstheme="minorHAnsi"/>
                <w:bCs/>
                <w:color w:val="auto"/>
                <w:sz w:val="20"/>
                <w:szCs w:val="20"/>
              </w:rPr>
              <w:t xml:space="preserve">Luke Britt, Tera Klutz, </w:t>
            </w:r>
            <w:r w:rsidR="00D7743F">
              <w:rPr>
                <w:rFonts w:cstheme="minorHAnsi"/>
                <w:bCs/>
                <w:color w:val="auto"/>
                <w:sz w:val="20"/>
                <w:szCs w:val="20"/>
              </w:rPr>
              <w:t xml:space="preserve">Fred Van </w:t>
            </w:r>
            <w:proofErr w:type="spellStart"/>
            <w:r w:rsidR="00D7743F">
              <w:rPr>
                <w:rFonts w:cstheme="minorHAnsi"/>
                <w:bCs/>
                <w:color w:val="auto"/>
                <w:sz w:val="20"/>
                <w:szCs w:val="20"/>
              </w:rPr>
              <w:t>Dorp</w:t>
            </w:r>
            <w:proofErr w:type="spellEnd"/>
            <w:r w:rsidR="00D7743F">
              <w:rPr>
                <w:rFonts w:cstheme="minorHAnsi"/>
                <w:bCs/>
                <w:color w:val="auto"/>
                <w:sz w:val="20"/>
                <w:szCs w:val="20"/>
              </w:rPr>
              <w:t>,</w:t>
            </w:r>
            <w:r w:rsidR="00AE1E2E">
              <w:rPr>
                <w:rFonts w:cstheme="minorHAnsi"/>
                <w:bCs/>
                <w:color w:val="auto"/>
                <w:sz w:val="20"/>
                <w:szCs w:val="20"/>
              </w:rPr>
              <w:t xml:space="preserve"> and </w:t>
            </w:r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Dan </w:t>
            </w:r>
            <w:proofErr w:type="spellStart"/>
            <w:r w:rsidR="00431713" w:rsidRPr="009E31BC">
              <w:rPr>
                <w:rFonts w:cstheme="minorHAnsi"/>
                <w:bCs/>
                <w:color w:val="auto"/>
                <w:sz w:val="20"/>
                <w:szCs w:val="20"/>
              </w:rPr>
              <w:t>Granquist</w:t>
            </w:r>
            <w:proofErr w:type="spellEnd"/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>, Attorney</w:t>
            </w:r>
            <w:r>
              <w:rPr>
                <w:rFonts w:cstheme="minorHAnsi"/>
                <w:bCs/>
                <w:color w:val="auto"/>
                <w:sz w:val="20"/>
                <w:szCs w:val="20"/>
              </w:rPr>
              <w:t xml:space="preserve">. </w:t>
            </w:r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>Member</w:t>
            </w:r>
            <w:r w:rsidR="00684AFD" w:rsidRPr="009E31BC">
              <w:rPr>
                <w:rFonts w:cstheme="minorHAnsi"/>
                <w:bCs/>
                <w:color w:val="auto"/>
                <w:sz w:val="20"/>
                <w:szCs w:val="20"/>
              </w:rPr>
              <w:t>, Better Gov</w:t>
            </w:r>
            <w:r w:rsidR="00EA095C" w:rsidRPr="009E31BC">
              <w:rPr>
                <w:rFonts w:cstheme="minorHAnsi"/>
                <w:bCs/>
                <w:color w:val="auto"/>
                <w:sz w:val="20"/>
                <w:szCs w:val="20"/>
              </w:rPr>
              <w:t>.</w:t>
            </w:r>
            <w:r w:rsidR="00684AFD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Study Grp</w:t>
            </w:r>
            <w:r>
              <w:rPr>
                <w:rFonts w:cstheme="minorHAnsi"/>
                <w:bCs/>
                <w:color w:val="auto"/>
                <w:sz w:val="20"/>
                <w:szCs w:val="20"/>
              </w:rPr>
              <w:t xml:space="preserve">; </w:t>
            </w:r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>Justin Kiel, Publisher</w:t>
            </w:r>
            <w:r w:rsidR="00870154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, </w:t>
            </w:r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>Regional News and Westville Indicat</w:t>
            </w:r>
            <w:r w:rsidR="0099146D" w:rsidRPr="009E31BC">
              <w:rPr>
                <w:rFonts w:cstheme="minorHAnsi"/>
                <w:bCs/>
                <w:color w:val="auto"/>
                <w:sz w:val="20"/>
                <w:szCs w:val="20"/>
              </w:rPr>
              <w:t>or and Member, Better Government Study Group</w:t>
            </w:r>
          </w:p>
        </w:tc>
      </w:tr>
      <w:tr w:rsidR="00BB32C7" w:rsidRPr="00984FBB" w14:paraId="218D9BC2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1B4E" w14:textId="0899D7F9" w:rsidR="00984FBB" w:rsidRPr="009E31BC" w:rsidRDefault="0099146D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11: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45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5 to 11: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55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3CB3" w14:textId="354605A1" w:rsidR="0099146D" w:rsidRPr="009E31BC" w:rsidRDefault="001F173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Follow Up: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 </w:t>
            </w:r>
            <w:r w:rsidR="0099146D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Identification of Issues Requiring Additional Research, Clarification or Action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962A" w14:textId="2363587A" w:rsidR="001F1730" w:rsidRPr="009E31BC" w:rsidRDefault="00BB32C7" w:rsidP="009E31BC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Jim Jessup</w:t>
            </w:r>
            <w:r w:rsid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,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Co-</w:t>
            </w:r>
            <w:r w:rsidR="00870154" w:rsidRPr="009E31BC">
              <w:rPr>
                <w:rFonts w:cstheme="minorHAnsi"/>
                <w:bCs/>
                <w:color w:val="auto"/>
                <w:sz w:val="20"/>
                <w:szCs w:val="20"/>
              </w:rPr>
              <w:t>Convener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, Better Gov. Study Grp.</w:t>
            </w:r>
          </w:p>
        </w:tc>
      </w:tr>
      <w:tr w:rsidR="00BB32C7" w:rsidRPr="00984FBB" w14:paraId="3A6832D8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4B2D" w14:textId="19ED63F8" w:rsidR="00F316C0" w:rsidRPr="009E31BC" w:rsidRDefault="00F316C0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11: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5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5am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E160" w14:textId="6C8FA610" w:rsidR="00F316C0" w:rsidRPr="009E31BC" w:rsidRDefault="00870154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Conclusion: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  </w:t>
            </w:r>
            <w:r w:rsidR="0033257B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Overview of the Educational Role of the Better Government Study Group and </w:t>
            </w:r>
            <w:r w:rsidR="00BB32C7" w:rsidRP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the League of Women Voters of La Porte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County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0C85" w14:textId="1918EED8" w:rsidR="00684AFD" w:rsidRPr="009E31BC" w:rsidRDefault="00BB32C7" w:rsidP="009E31BC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Jim Jessup</w:t>
            </w:r>
            <w:r w:rsidR="009E31BC">
              <w:rPr>
                <w:rFonts w:cstheme="minorHAnsi"/>
                <w:bCs/>
                <w:color w:val="auto"/>
                <w:sz w:val="20"/>
                <w:szCs w:val="20"/>
              </w:rPr>
              <w:t xml:space="preserve">, </w:t>
            </w: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Co-Chairman, Better Gov. Study Grp.</w:t>
            </w:r>
          </w:p>
        </w:tc>
      </w:tr>
      <w:tr w:rsidR="00BB32C7" w:rsidRPr="00984FBB" w14:paraId="3FA312F2" w14:textId="77777777" w:rsidTr="009E31BC"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146D" w14:textId="28E24A8E" w:rsidR="00984FBB" w:rsidRPr="009E31BC" w:rsidRDefault="00984FBB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Cs/>
                <w:color w:val="auto"/>
                <w:sz w:val="20"/>
                <w:szCs w:val="20"/>
              </w:rPr>
              <w:t>1</w:t>
            </w:r>
            <w:r w:rsidR="001F1730" w:rsidRPr="009E31BC">
              <w:rPr>
                <w:rFonts w:cstheme="minorHAnsi"/>
                <w:bCs/>
                <w:color w:val="auto"/>
                <w:sz w:val="20"/>
                <w:szCs w:val="20"/>
              </w:rPr>
              <w:t>2:0</w:t>
            </w:r>
            <w:r w:rsidR="00D7743F">
              <w:rPr>
                <w:rFonts w:cstheme="minorHAnsi"/>
                <w:bCs/>
                <w:color w:val="auto"/>
                <w:sz w:val="20"/>
                <w:szCs w:val="20"/>
              </w:rPr>
              <w:t>0pm</w:t>
            </w:r>
            <w:bookmarkStart w:id="0" w:name="_GoBack"/>
            <w:bookmarkEnd w:id="0"/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8738" w14:textId="77777777" w:rsidR="00984FBB" w:rsidRPr="009E31BC" w:rsidRDefault="00984FBB" w:rsidP="00984FBB">
            <w:pPr>
              <w:spacing w:after="0" w:line="240" w:lineRule="auto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9E31BC">
              <w:rPr>
                <w:rFonts w:cstheme="minorHAnsi"/>
                <w:b/>
                <w:bCs/>
                <w:color w:val="auto"/>
                <w:sz w:val="20"/>
                <w:szCs w:val="20"/>
              </w:rPr>
              <w:t>Adjournment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F37" w14:textId="3010011C" w:rsidR="00984FBB" w:rsidRPr="009E31BC" w:rsidRDefault="00984FBB" w:rsidP="00984FBB">
            <w:pPr>
              <w:spacing w:after="0" w:line="240" w:lineRule="auto"/>
              <w:rPr>
                <w:rFonts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6E1AB264" w14:textId="77777777" w:rsidR="00984FBB" w:rsidRPr="00D64D93" w:rsidRDefault="00984FBB" w:rsidP="00984FBB">
      <w:pPr>
        <w:spacing w:after="0" w:line="240" w:lineRule="auto"/>
        <w:rPr>
          <w:rFonts w:ascii="Calibri" w:hAnsi="Calibri" w:cstheme="minorHAnsi"/>
          <w:color w:val="auto"/>
          <w:sz w:val="10"/>
          <w:szCs w:val="10"/>
        </w:rPr>
      </w:pPr>
    </w:p>
    <w:p w14:paraId="7E28710B" w14:textId="77777777" w:rsidR="005902DA" w:rsidRPr="00870154" w:rsidRDefault="00984FBB" w:rsidP="0099146D">
      <w:pPr>
        <w:spacing w:after="0" w:line="240" w:lineRule="auto"/>
        <w:rPr>
          <w:rFonts w:cstheme="minorHAnsi"/>
          <w:color w:val="000000"/>
          <w:sz w:val="22"/>
          <w:szCs w:val="22"/>
        </w:rPr>
      </w:pPr>
      <w:r w:rsidRPr="00870154">
        <w:rPr>
          <w:rFonts w:cstheme="minorHAnsi"/>
          <w:color w:val="auto"/>
          <w:sz w:val="22"/>
          <w:szCs w:val="22"/>
        </w:rPr>
        <w:t xml:space="preserve">If you need more information or have questions, please </w:t>
      </w:r>
      <w:r w:rsidR="00312713" w:rsidRPr="00870154">
        <w:rPr>
          <w:rFonts w:cstheme="minorHAnsi"/>
          <w:color w:val="000000"/>
          <w:sz w:val="22"/>
          <w:szCs w:val="22"/>
        </w:rPr>
        <w:t>contact</w:t>
      </w:r>
    </w:p>
    <w:p w14:paraId="75F46B04" w14:textId="6536B3A3" w:rsidR="005902DA" w:rsidRPr="00431713" w:rsidRDefault="00312713" w:rsidP="009914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auto"/>
          <w:sz w:val="18"/>
          <w:szCs w:val="18"/>
        </w:rPr>
      </w:pPr>
      <w:r w:rsidRPr="00431713">
        <w:rPr>
          <w:rFonts w:cstheme="minorHAnsi"/>
          <w:color w:val="auto"/>
          <w:sz w:val="18"/>
          <w:szCs w:val="18"/>
        </w:rPr>
        <w:t xml:space="preserve">Jo Ann Engquist, League of Women Voters of LaPorte County at </w:t>
      </w:r>
      <w:hyperlink r:id="rId10" w:history="1">
        <w:r w:rsidRPr="00431713">
          <w:rPr>
            <w:rStyle w:val="Hyperlink"/>
            <w:rFonts w:cstheme="minorHAnsi"/>
            <w:color w:val="auto"/>
            <w:sz w:val="18"/>
            <w:szCs w:val="18"/>
          </w:rPr>
          <w:t>jaengquist@comcast.net</w:t>
        </w:r>
      </w:hyperlink>
      <w:r w:rsidRPr="00431713">
        <w:rPr>
          <w:rFonts w:cstheme="minorHAnsi"/>
          <w:color w:val="auto"/>
          <w:sz w:val="18"/>
          <w:szCs w:val="18"/>
        </w:rPr>
        <w:t xml:space="preserve"> or 219-874-</w:t>
      </w:r>
      <w:r w:rsidR="00F60FCC" w:rsidRPr="00431713">
        <w:rPr>
          <w:rFonts w:cstheme="minorHAnsi"/>
          <w:color w:val="auto"/>
          <w:sz w:val="18"/>
          <w:szCs w:val="18"/>
        </w:rPr>
        <w:t>9939 or</w:t>
      </w:r>
      <w:r w:rsidR="00984FBB" w:rsidRPr="00431713">
        <w:rPr>
          <w:rFonts w:cstheme="minorHAnsi"/>
          <w:color w:val="auto"/>
          <w:sz w:val="18"/>
          <w:szCs w:val="18"/>
        </w:rPr>
        <w:t xml:space="preserve"> </w:t>
      </w:r>
    </w:p>
    <w:p w14:paraId="113A966D" w14:textId="556B5F6A" w:rsidR="002F1BDB" w:rsidRDefault="00984FBB" w:rsidP="005902DA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color w:val="auto"/>
          <w:sz w:val="18"/>
          <w:szCs w:val="18"/>
        </w:rPr>
      </w:pPr>
      <w:r w:rsidRPr="00431713">
        <w:rPr>
          <w:rFonts w:cstheme="minorHAnsi"/>
          <w:color w:val="auto"/>
          <w:sz w:val="18"/>
          <w:szCs w:val="18"/>
        </w:rPr>
        <w:t>Leigh Morris</w:t>
      </w:r>
      <w:r w:rsidR="00717704" w:rsidRPr="00431713">
        <w:rPr>
          <w:rFonts w:cstheme="minorHAnsi"/>
          <w:color w:val="auto"/>
          <w:sz w:val="18"/>
          <w:szCs w:val="18"/>
        </w:rPr>
        <w:t>,</w:t>
      </w:r>
      <w:r w:rsidRPr="00431713">
        <w:rPr>
          <w:rFonts w:cstheme="minorHAnsi"/>
          <w:color w:val="auto"/>
          <w:sz w:val="18"/>
          <w:szCs w:val="18"/>
        </w:rPr>
        <w:t xml:space="preserve"> La Porte County Better Government Study Group at </w:t>
      </w:r>
      <w:hyperlink r:id="rId11" w:history="1">
        <w:r w:rsidRPr="00431713">
          <w:rPr>
            <w:rStyle w:val="Hyperlink"/>
            <w:rFonts w:cstheme="minorHAnsi"/>
            <w:color w:val="auto"/>
            <w:sz w:val="18"/>
            <w:szCs w:val="18"/>
          </w:rPr>
          <w:t>lmorris@csinet.net</w:t>
        </w:r>
      </w:hyperlink>
      <w:r w:rsidRPr="00431713">
        <w:rPr>
          <w:rFonts w:cstheme="minorHAnsi"/>
          <w:color w:val="auto"/>
          <w:sz w:val="18"/>
          <w:szCs w:val="18"/>
        </w:rPr>
        <w:t xml:space="preserve"> or 219-363-2294</w:t>
      </w:r>
      <w:r w:rsidR="00360328" w:rsidRPr="00431713">
        <w:rPr>
          <w:rFonts w:cstheme="minorHAnsi"/>
          <w:color w:val="auto"/>
          <w:sz w:val="18"/>
          <w:szCs w:val="18"/>
        </w:rPr>
        <w:t>.</w:t>
      </w:r>
      <w:r w:rsidR="00BB32C7">
        <w:rPr>
          <w:rFonts w:cstheme="minorHAnsi"/>
          <w:color w:val="auto"/>
          <w:sz w:val="18"/>
          <w:szCs w:val="18"/>
        </w:rPr>
        <w:t xml:space="preserve"> OR</w:t>
      </w:r>
    </w:p>
    <w:p w14:paraId="13383C21" w14:textId="00D295CC" w:rsidR="00BB32C7" w:rsidRPr="00431713" w:rsidRDefault="00BB32C7" w:rsidP="005902DA">
      <w:pPr>
        <w:pStyle w:val="ListParagraph"/>
        <w:numPr>
          <w:ilvl w:val="0"/>
          <w:numId w:val="1"/>
        </w:numPr>
        <w:spacing w:before="120" w:after="0" w:line="240" w:lineRule="auto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 xml:space="preserve">Jim Jessup, La Pore County Better Government Study Group at </w:t>
      </w:r>
      <w:hyperlink r:id="rId12" w:history="1">
        <w:r w:rsidRPr="00FD731C">
          <w:rPr>
            <w:rStyle w:val="Hyperlink"/>
            <w:rFonts w:cstheme="minorHAnsi"/>
            <w:sz w:val="18"/>
            <w:szCs w:val="18"/>
          </w:rPr>
          <w:t>jimjessup@frontier.com</w:t>
        </w:r>
      </w:hyperlink>
      <w:r>
        <w:rPr>
          <w:rFonts w:cstheme="minorHAnsi"/>
          <w:color w:val="auto"/>
          <w:sz w:val="18"/>
          <w:szCs w:val="18"/>
        </w:rPr>
        <w:t xml:space="preserve"> or 219-</w:t>
      </w:r>
      <w:r w:rsidR="00D7743F">
        <w:rPr>
          <w:rFonts w:cstheme="minorHAnsi"/>
          <w:color w:val="auto"/>
          <w:sz w:val="18"/>
          <w:szCs w:val="18"/>
        </w:rPr>
        <w:t>797-4407</w:t>
      </w:r>
    </w:p>
    <w:p w14:paraId="6B4DAD84" w14:textId="45759701" w:rsidR="002F1BDB" w:rsidRDefault="00E710D0" w:rsidP="00431713">
      <w:pPr>
        <w:spacing w:before="120" w:after="0" w:line="240" w:lineRule="auto"/>
      </w:pPr>
      <w:r w:rsidRPr="00431713">
        <w:rPr>
          <w:rFonts w:ascii="Calibri" w:hAnsi="Calibri" w:cstheme="minorHAnsi"/>
          <w:color w:val="auto"/>
          <w:sz w:val="16"/>
          <w:szCs w:val="16"/>
        </w:rPr>
        <w:t>Bettergovernmentlpclwvconferenceon</w:t>
      </w:r>
      <w:r w:rsidR="00431713">
        <w:rPr>
          <w:rFonts w:ascii="Calibri" w:hAnsi="Calibri" w:cstheme="minorHAnsi"/>
          <w:color w:val="auto"/>
          <w:sz w:val="16"/>
          <w:szCs w:val="16"/>
        </w:rPr>
        <w:t>publicaccessopendooor051118</w:t>
      </w:r>
      <w:r w:rsidR="00F740FF">
        <w:rPr>
          <w:rFonts w:ascii="Calibri" w:hAnsi="Calibri" w:cstheme="minorHAnsi"/>
          <w:color w:val="auto"/>
          <w:sz w:val="16"/>
          <w:szCs w:val="16"/>
        </w:rPr>
        <w:t>a</w:t>
      </w:r>
      <w:r w:rsidR="00A8429B" w:rsidRPr="00431713">
        <w:rPr>
          <w:rFonts w:ascii="Calibri" w:hAnsi="Calibri" w:cstheme="minorHAnsi"/>
          <w:color w:val="auto"/>
          <w:sz w:val="16"/>
          <w:szCs w:val="16"/>
        </w:rPr>
        <w:t xml:space="preserve">.doc </w:t>
      </w:r>
      <w:r w:rsidR="00431713" w:rsidRPr="00431713">
        <w:rPr>
          <w:rFonts w:ascii="Calibri" w:hAnsi="Calibri" w:cstheme="minorHAnsi"/>
          <w:color w:val="auto"/>
          <w:sz w:val="16"/>
          <w:szCs w:val="16"/>
        </w:rPr>
        <w:t>lem: lem</w:t>
      </w:r>
    </w:p>
    <w:sectPr w:rsidR="002F1BDB" w:rsidSect="004317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7601" w14:textId="77777777" w:rsidR="007135D6" w:rsidRDefault="007135D6" w:rsidP="00DC0266">
      <w:pPr>
        <w:spacing w:after="0" w:line="240" w:lineRule="auto"/>
      </w:pPr>
      <w:r>
        <w:separator/>
      </w:r>
    </w:p>
  </w:endnote>
  <w:endnote w:type="continuationSeparator" w:id="0">
    <w:p w14:paraId="2568D49C" w14:textId="77777777" w:rsidR="007135D6" w:rsidRDefault="007135D6" w:rsidP="00DC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7DB4" w14:textId="77777777" w:rsidR="007135D6" w:rsidRDefault="00713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89FC" w14:textId="77777777" w:rsidR="007135D6" w:rsidRDefault="00713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2DBF" w14:textId="77777777" w:rsidR="007135D6" w:rsidRDefault="00713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2782" w14:textId="77777777" w:rsidR="007135D6" w:rsidRDefault="007135D6" w:rsidP="00DC0266">
      <w:pPr>
        <w:spacing w:after="0" w:line="240" w:lineRule="auto"/>
      </w:pPr>
      <w:r>
        <w:separator/>
      </w:r>
    </w:p>
  </w:footnote>
  <w:footnote w:type="continuationSeparator" w:id="0">
    <w:p w14:paraId="2BD9F14C" w14:textId="77777777" w:rsidR="007135D6" w:rsidRDefault="007135D6" w:rsidP="00DC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2CFE" w14:textId="77777777" w:rsidR="007135D6" w:rsidRDefault="00713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7B0E" w14:textId="5B660BAB" w:rsidR="007135D6" w:rsidRDefault="00713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8E5F" w14:textId="77777777" w:rsidR="007135D6" w:rsidRDefault="00713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3B13"/>
    <w:multiLevelType w:val="hybridMultilevel"/>
    <w:tmpl w:val="04DA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03620"/>
    <w:multiLevelType w:val="hybridMultilevel"/>
    <w:tmpl w:val="5D7E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E59"/>
    <w:multiLevelType w:val="hybridMultilevel"/>
    <w:tmpl w:val="011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829CF"/>
    <w:multiLevelType w:val="hybridMultilevel"/>
    <w:tmpl w:val="6FD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9C7"/>
    <w:multiLevelType w:val="hybridMultilevel"/>
    <w:tmpl w:val="7864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B5"/>
    <w:rsid w:val="00085156"/>
    <w:rsid w:val="0014274C"/>
    <w:rsid w:val="00173D17"/>
    <w:rsid w:val="0017453C"/>
    <w:rsid w:val="001F1730"/>
    <w:rsid w:val="00233786"/>
    <w:rsid w:val="00250E85"/>
    <w:rsid w:val="002F1BDB"/>
    <w:rsid w:val="00312713"/>
    <w:rsid w:val="0033257B"/>
    <w:rsid w:val="00351A06"/>
    <w:rsid w:val="00360328"/>
    <w:rsid w:val="003A46B4"/>
    <w:rsid w:val="003E3FDB"/>
    <w:rsid w:val="00431713"/>
    <w:rsid w:val="00464534"/>
    <w:rsid w:val="00496833"/>
    <w:rsid w:val="004C73FF"/>
    <w:rsid w:val="004D2595"/>
    <w:rsid w:val="004F5703"/>
    <w:rsid w:val="005779C0"/>
    <w:rsid w:val="005902DA"/>
    <w:rsid w:val="005A556C"/>
    <w:rsid w:val="005B7579"/>
    <w:rsid w:val="005F61B8"/>
    <w:rsid w:val="00603055"/>
    <w:rsid w:val="0061001A"/>
    <w:rsid w:val="00657E86"/>
    <w:rsid w:val="006606EA"/>
    <w:rsid w:val="00677172"/>
    <w:rsid w:val="00684AFD"/>
    <w:rsid w:val="007135D6"/>
    <w:rsid w:val="00717704"/>
    <w:rsid w:val="007421F0"/>
    <w:rsid w:val="0081060E"/>
    <w:rsid w:val="00855745"/>
    <w:rsid w:val="00870154"/>
    <w:rsid w:val="0087537F"/>
    <w:rsid w:val="008E581C"/>
    <w:rsid w:val="008F4A96"/>
    <w:rsid w:val="00932CE6"/>
    <w:rsid w:val="009507A8"/>
    <w:rsid w:val="0096485B"/>
    <w:rsid w:val="00972268"/>
    <w:rsid w:val="0098331D"/>
    <w:rsid w:val="00984FBB"/>
    <w:rsid w:val="0099146D"/>
    <w:rsid w:val="009C6650"/>
    <w:rsid w:val="009E31BC"/>
    <w:rsid w:val="00A227F9"/>
    <w:rsid w:val="00A26CBD"/>
    <w:rsid w:val="00A3329A"/>
    <w:rsid w:val="00A3637A"/>
    <w:rsid w:val="00A73473"/>
    <w:rsid w:val="00A8429B"/>
    <w:rsid w:val="00AC571C"/>
    <w:rsid w:val="00AD04D3"/>
    <w:rsid w:val="00AE1E2E"/>
    <w:rsid w:val="00B501F4"/>
    <w:rsid w:val="00BB32C7"/>
    <w:rsid w:val="00BD346A"/>
    <w:rsid w:val="00BF1EB6"/>
    <w:rsid w:val="00C364A0"/>
    <w:rsid w:val="00C66008"/>
    <w:rsid w:val="00CB2104"/>
    <w:rsid w:val="00CB2BFE"/>
    <w:rsid w:val="00D34FD1"/>
    <w:rsid w:val="00D64D93"/>
    <w:rsid w:val="00D7743F"/>
    <w:rsid w:val="00DA15B5"/>
    <w:rsid w:val="00DC0266"/>
    <w:rsid w:val="00E710D0"/>
    <w:rsid w:val="00E766C8"/>
    <w:rsid w:val="00E9041D"/>
    <w:rsid w:val="00EA095C"/>
    <w:rsid w:val="00F316C0"/>
    <w:rsid w:val="00F570B1"/>
    <w:rsid w:val="00F60FCC"/>
    <w:rsid w:val="00F7381A"/>
    <w:rsid w:val="00F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150D8A"/>
  <w15:chartTrackingRefBased/>
  <w15:docId w15:val="{D32B413B-F3BD-40E5-93C8-81E3CD2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Bidi"/>
        <w:color w:val="000000"/>
        <w:kern w:val="28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B5"/>
    <w:pPr>
      <w:spacing w:after="200" w:line="288" w:lineRule="auto"/>
    </w:pPr>
    <w:rPr>
      <w:rFonts w:asciiTheme="minorHAnsi" w:hAnsiTheme="minorHAnsi" w:cstheme="minorBidi"/>
      <w:color w:val="595959" w:themeColor="text1" w:themeTint="A6"/>
      <w:kern w:val="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E581C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581C"/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8E581C"/>
    <w:pPr>
      <w:ind w:left="720"/>
      <w:contextualSpacing/>
    </w:pPr>
  </w:style>
  <w:style w:type="paragraph" w:styleId="NoSpacing">
    <w:name w:val="No Spacing"/>
    <w:uiPriority w:val="1"/>
    <w:qFormat/>
    <w:rsid w:val="00DA15B5"/>
    <w:pPr>
      <w:spacing w:line="264" w:lineRule="auto"/>
    </w:pPr>
    <w:rPr>
      <w:rFonts w:asciiTheme="minorHAnsi" w:hAnsiTheme="minorHAnsi" w:cstheme="minorBidi"/>
      <w:color w:val="595959" w:themeColor="text1" w:themeTint="A6"/>
      <w:kern w:val="0"/>
      <w:sz w:val="19"/>
      <w:szCs w:val="19"/>
    </w:rPr>
  </w:style>
  <w:style w:type="paragraph" w:customStyle="1" w:styleId="Name">
    <w:name w:val="Name"/>
    <w:basedOn w:val="Normal"/>
    <w:uiPriority w:val="2"/>
    <w:qFormat/>
    <w:rsid w:val="00DA15B5"/>
    <w:pPr>
      <w:spacing w:after="0" w:line="21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4F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F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28"/>
    <w:rPr>
      <w:rFonts w:ascii="Segoe UI" w:hAnsi="Segoe UI" w:cs="Segoe UI"/>
      <w:color w:val="595959" w:themeColor="text1" w:themeTint="A6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66"/>
    <w:rPr>
      <w:rFonts w:asciiTheme="minorHAnsi" w:hAnsiTheme="minorHAnsi" w:cstheme="minorBidi"/>
      <w:color w:val="595959" w:themeColor="text1" w:themeTint="A6"/>
      <w:kern w:val="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DC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66"/>
    <w:rPr>
      <w:rFonts w:asciiTheme="minorHAnsi" w:hAnsiTheme="minorHAnsi" w:cstheme="minorBidi"/>
      <w:color w:val="595959" w:themeColor="text1" w:themeTint="A6"/>
      <w:kern w:val="0"/>
      <w:sz w:val="19"/>
      <w:szCs w:val="19"/>
    </w:rPr>
  </w:style>
  <w:style w:type="character" w:styleId="Emphasis">
    <w:name w:val="Emphasis"/>
    <w:basedOn w:val="DefaultParagraphFont"/>
    <w:uiPriority w:val="20"/>
    <w:qFormat/>
    <w:rsid w:val="00464534"/>
    <w:rPr>
      <w:i/>
      <w:iCs/>
    </w:rPr>
  </w:style>
  <w:style w:type="table" w:styleId="TableGrid">
    <w:name w:val="Table Grid"/>
    <w:basedOn w:val="TableNormal"/>
    <w:uiPriority w:val="59"/>
    <w:rsid w:val="0017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mjessup@frontie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orris@csinet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engquist@comcast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1316-5FFC-458B-88DA-C0FCF3C2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</dc:creator>
  <cp:keywords/>
  <dc:description/>
  <cp:lastModifiedBy>Jim at Leadership</cp:lastModifiedBy>
  <cp:revision>4</cp:revision>
  <cp:lastPrinted>2019-04-10T22:22:00Z</cp:lastPrinted>
  <dcterms:created xsi:type="dcterms:W3CDTF">2019-04-09T23:58:00Z</dcterms:created>
  <dcterms:modified xsi:type="dcterms:W3CDTF">2019-04-29T14:03:00Z</dcterms:modified>
</cp:coreProperties>
</file>